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738" w:rsidRDefault="0009462F">
      <w:pPr>
        <w:pStyle w:val="CRCoverPage"/>
        <w:spacing w:after="0"/>
        <w:outlineLvl w:val="0"/>
        <w:rPr>
          <w:b/>
          <w:sz w:val="24"/>
        </w:rPr>
      </w:pPr>
      <w:r>
        <w:rPr>
          <w:b/>
          <w:sz w:val="24"/>
        </w:rPr>
        <w:t>3GPP TSG-RAN WG2 Meeting #126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 w:rsidR="00495884">
        <w:rPr>
          <w:b/>
          <w:sz w:val="24"/>
        </w:rPr>
        <w:t xml:space="preserve">  </w:t>
      </w:r>
      <w:r w:rsidR="00495884" w:rsidRPr="00495884">
        <w:rPr>
          <w:b/>
          <w:sz w:val="24"/>
        </w:rPr>
        <w:t>R2-2406040</w:t>
      </w:r>
    </w:p>
    <w:p w:rsidR="005A1738" w:rsidRDefault="000946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Fukuoka, Japan, 20th May– 24th May,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7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A17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17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142" w:type="dxa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A1738" w:rsidRDefault="000946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5A1738" w:rsidRDefault="000946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A1738" w:rsidRDefault="0009462F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5A1738" w:rsidRDefault="000946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A1738" w:rsidRDefault="000946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</w:pPr>
          </w:p>
        </w:tc>
      </w:tr>
      <w:tr w:rsidR="005A17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</w:pPr>
          </w:p>
        </w:tc>
      </w:tr>
      <w:tr w:rsidR="005A17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jc w:val="center"/>
              <w:rPr>
                <w:rFonts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:rsidR="005A1738" w:rsidRDefault="000946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1738">
        <w:tc>
          <w:tcPr>
            <w:tcW w:w="9641" w:type="dxa"/>
            <w:gridSpan w:val="9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A1738" w:rsidRDefault="005A17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738">
        <w:tc>
          <w:tcPr>
            <w:tcW w:w="2835" w:type="dxa"/>
          </w:tcPr>
          <w:p w:rsidR="005A1738" w:rsidRDefault="000946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A1738" w:rsidRDefault="000946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A1738" w:rsidRDefault="005A17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A1738" w:rsidRDefault="000946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A1738" w:rsidRDefault="000946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1738" w:rsidRDefault="005A17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A1738" w:rsidRDefault="005A17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738">
        <w:tc>
          <w:tcPr>
            <w:tcW w:w="9640" w:type="dxa"/>
            <w:gridSpan w:val="11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Correction on NES UE capabilities to 38331</w:t>
            </w: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5A1738" w:rsidRDefault="005A17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738" w:rsidRDefault="000946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2024-05-31</w:t>
            </w:r>
          </w:p>
        </w:tc>
      </w:tr>
      <w:tr w:rsidR="005A1738"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A1738" w:rsidRDefault="005A17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1738" w:rsidRDefault="000946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A17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ind w:left="383" w:hanging="383"/>
              <w:rPr>
                <w:rFonts w:eastAsia="宋体"/>
                <w:b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:rsidR="005A1738" w:rsidRDefault="0009462F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:rsidR="005A1738" w:rsidRDefault="0009462F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:rsidR="005A1738" w:rsidRDefault="0009462F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:rsidR="005A1738" w:rsidRDefault="0009462F">
            <w:pPr>
              <w:pStyle w:val="CRCoverPage"/>
              <w:spacing w:after="0"/>
              <w:ind w:left="383" w:hanging="383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:rsidR="005A1738" w:rsidRDefault="000946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A1738" w:rsidRDefault="0009462F">
            <w:pPr>
              <w:pStyle w:val="CRCoverPage"/>
              <w:rPr>
                <w:rFonts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:rsidR="005A1738" w:rsidRDefault="0009462F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</w:p>
          <w:p w:rsidR="005A1738" w:rsidRDefault="000946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:rsidR="005A1738">
        <w:tc>
          <w:tcPr>
            <w:tcW w:w="1843" w:type="dxa"/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1. The current field description of </w:t>
            </w:r>
            <w:r>
              <w:rPr>
                <w:i/>
              </w:rPr>
              <w:t>scellWithoutSSB-InterBandCA-r18</w:t>
            </w:r>
            <w:r>
              <w:rPr>
                <w:b/>
                <w:i/>
              </w:rPr>
              <w:t xml:space="preserve"> </w:t>
            </w:r>
            <w:r>
              <w:t>does not support the NW to configure</w:t>
            </w:r>
            <w:r>
              <w:rPr>
                <w:rFonts w:eastAsiaTheme="minorEastAsia"/>
                <w:lang w:eastAsia="zh-CN"/>
              </w:rPr>
              <w:t xml:space="preserve"> CA of a higher-order BC while only configuring inter-band SSB-less operation of a lower-order BC;</w:t>
            </w:r>
          </w:p>
          <w:p w:rsidR="005A1738" w:rsidRDefault="0009462F">
            <w:pPr>
              <w:pStyle w:val="CRCoverPage"/>
              <w:spacing w:after="0"/>
              <w:ind w:left="100"/>
            </w:pPr>
            <w:r>
              <w:t xml:space="preserve">2. The current field description of </w:t>
            </w:r>
            <w:r>
              <w:rPr>
                <w:i/>
              </w:rPr>
              <w:t>scellWithoutSSB-InterBandCA-r18</w:t>
            </w:r>
            <w:r>
              <w:rPr>
                <w:b/>
                <w:i/>
              </w:rPr>
              <w:t xml:space="preserve"> </w:t>
            </w:r>
            <w:r>
              <w:t>does not support the report of multiple inter-band SSB-less SCell operation groups</w:t>
            </w: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 xml:space="preserve">Revise the field description of </w:t>
            </w:r>
            <w:r>
              <w:rPr>
                <w:i/>
              </w:rPr>
              <w:t xml:space="preserve">scellWithoutSSB-InterBandCA-r18 </w:t>
            </w:r>
            <w:r>
              <w:t xml:space="preserve">according to the </w:t>
            </w:r>
            <w:r>
              <w:t>agreements and compromised solution at R2#126:</w:t>
            </w:r>
          </w:p>
          <w:tbl>
            <w:tblPr>
              <w:tblStyle w:val="a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A1738">
              <w:tc>
                <w:tcPr>
                  <w:tcW w:w="6852" w:type="dxa"/>
                </w:tcPr>
                <w:p w:rsidR="005A1738" w:rsidRDefault="0009462F">
                  <w:pPr>
                    <w:pStyle w:val="Doc-text2"/>
                    <w:ind w:left="363"/>
                  </w:pPr>
                  <w:r>
                    <w:t>Agreements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>1. Instead of reporting ‘supported’ for a band within the BC to indicate this band can be configured as the reference band for all other bands within the BC, the UE optionally reports ‘referenceBand</w:t>
                  </w:r>
                  <w:r>
                    <w:t>’ or ‘scellWithoutSSB’ for a band to indicate the support of inter-band SSB-less SCell operation.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>2. The band indicated as ‘referenceBand’ can be configured as the reference band for all other band(s) indicated as ‘scellWithoutSSB’.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>3. If the field scellWi</w:t>
                  </w:r>
                  <w:r>
                    <w:t>thoutSSB-InterBandCA-r18 is absent for a band, this band is not involved in the inter-band SSB-less SCell operation.</w:t>
                  </w:r>
                </w:p>
                <w:p w:rsidR="005A1738" w:rsidRDefault="0009462F">
                  <w:pPr>
                    <w:pStyle w:val="CRCoverPage"/>
                    <w:spacing w:after="0"/>
                  </w:pPr>
                  <w:r>
                    <w:t>4. If inter-band SSB-less SCell operation is supported between two bands, it is understood that there is no direction between the two bands</w:t>
                  </w:r>
                  <w:r>
                    <w:t>, which means that the network can configure either band as the reference band and the other band as the SSB-less band.</w:t>
                  </w:r>
                </w:p>
                <w:p w:rsidR="005A1738" w:rsidRDefault="005A1738">
                  <w:pPr>
                    <w:pStyle w:val="CRCoverPage"/>
                    <w:spacing w:after="0"/>
                  </w:pP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 xml:space="preserve">After CB </w:t>
                  </w:r>
                </w:p>
                <w:p w:rsidR="005A1738" w:rsidRDefault="0009462F">
                  <w:pPr>
                    <w:pStyle w:val="Doc-text2"/>
                    <w:ind w:left="363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Compromise solution.  CR to be agreed by email 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>If scheme1 (to be named) is indicated, the band indicated as ‘scheme1’ can be</w:t>
                  </w:r>
                  <w:r>
                    <w:t xml:space="preserve"> configured as either the reference band or SSB-less band.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 xml:space="preserve">If scheme2 (to be named) is indicated, the band indicated as ‘referenceBand1’ can be configured as the reference band for all other band(s) indicated as ‘scellWithoutSSB1’, and  the band indicated </w:t>
                  </w:r>
                  <w:r>
                    <w:t xml:space="preserve">as </w:t>
                  </w:r>
                  <w:r>
                    <w:lastRenderedPageBreak/>
                    <w:t>‘referenceBand2’ can be configured as the reference band for all other band(s) indicated as ‘scellWithoutSSB2’.</w:t>
                  </w:r>
                </w:p>
                <w:p w:rsidR="005A1738" w:rsidRDefault="0009462F">
                  <w:pPr>
                    <w:pStyle w:val="Doc-text2"/>
                    <w:ind w:left="363"/>
                  </w:pPr>
                  <w:r>
                    <w:t>If the field scellWithoutSSB-InterBandCA-r18 is absent for a band, this band is not involved in the inter-band SSB-less SCell operation.</w:t>
                  </w:r>
                </w:p>
                <w:p w:rsidR="005A1738" w:rsidRDefault="0009462F">
                  <w:pPr>
                    <w:pStyle w:val="CRCoverPage"/>
                    <w:spacing w:after="0"/>
                  </w:pPr>
                  <w:r>
                    <w:t>In a</w:t>
                  </w:r>
                  <w:r>
                    <w:t xml:space="preserve"> band combination, only scheme1 or scheme2 is indicated.</w:t>
                  </w:r>
                </w:p>
              </w:tc>
            </w:tr>
          </w:tbl>
          <w:p w:rsidR="005A1738" w:rsidRDefault="005A1738">
            <w:pPr>
              <w:pStyle w:val="CRCoverPage"/>
              <w:spacing w:after="0"/>
              <w:ind w:left="100"/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t>Rel-18 NES UE capabilities for supporting inter-band SSB-less SCell operation is limited to the case where all the bands within a BC are involved in the inter-band</w:t>
            </w:r>
            <w:r>
              <w:t xml:space="preserve"> SSB-less SCell operation and in the same operation group.</w:t>
            </w:r>
          </w:p>
        </w:tc>
      </w:tr>
      <w:tr w:rsidR="005A1738">
        <w:tc>
          <w:tcPr>
            <w:tcW w:w="2694" w:type="dxa"/>
            <w:gridSpan w:val="2"/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.3.3</w:t>
            </w: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A1738" w:rsidRDefault="005A17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A1738" w:rsidRDefault="005A1738">
            <w:pPr>
              <w:pStyle w:val="CRCoverPage"/>
              <w:spacing w:after="0"/>
              <w:ind w:left="99"/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5A17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5A1738" w:rsidRDefault="000946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99"/>
            </w:pPr>
            <w:r>
              <w:t xml:space="preserve">TS/TR 38.306 CR ... </w:t>
            </w: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738" w:rsidRDefault="005A17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738" w:rsidRDefault="000946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0946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1738" w:rsidRDefault="005A17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A1738" w:rsidRDefault="000946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1738" w:rsidRDefault="000946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1738" w:rsidRDefault="005A1738">
            <w:pPr>
              <w:pStyle w:val="CRCoverPage"/>
              <w:spacing w:after="0"/>
            </w:pPr>
          </w:p>
        </w:tc>
      </w:tr>
      <w:tr w:rsidR="005A17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5A1738">
            <w:pPr>
              <w:pStyle w:val="CRCoverPage"/>
              <w:spacing w:after="0"/>
              <w:ind w:left="100"/>
            </w:pPr>
          </w:p>
        </w:tc>
      </w:tr>
      <w:tr w:rsidR="005A17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1738" w:rsidRDefault="005A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1738" w:rsidRDefault="005A17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17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738" w:rsidRDefault="000946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1738" w:rsidRDefault="005A1738">
            <w:pPr>
              <w:pStyle w:val="CRCoverPage"/>
              <w:spacing w:after="0"/>
              <w:ind w:left="100"/>
            </w:pPr>
          </w:p>
        </w:tc>
      </w:tr>
    </w:tbl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/>
    <w:p w:rsidR="005A1738" w:rsidRDefault="005A1738">
      <w:pPr>
        <w:sectPr w:rsidR="005A1738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A1738" w:rsidRDefault="0009462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:rsidR="005A1738" w:rsidRDefault="000946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" w:name="_Toc60777441"/>
      <w:bookmarkStart w:id="3" w:name="_Toc162895072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FeatureSetDownlink</w:t>
      </w:r>
      <w:bookmarkEnd w:id="2"/>
      <w:bookmarkEnd w:id="3"/>
    </w:p>
    <w:p w:rsidR="005A1738" w:rsidRDefault="0009462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FeatureSetDownlink</w:t>
      </w:r>
      <w:r>
        <w:rPr>
          <w:lang w:eastAsia="ja-JP"/>
        </w:rPr>
        <w:t xml:space="preserve"> indicates a set of features that the UE supports on the carriers corresponding to one band entry in a band combination.</w:t>
      </w:r>
    </w:p>
    <w:p w:rsidR="005A1738" w:rsidRDefault="000946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FeatureSetDownlink</w:t>
      </w:r>
      <w:r>
        <w:rPr>
          <w:rFonts w:ascii="Arial" w:hAnsi="Arial"/>
          <w:b/>
          <w:lang w:eastAsia="ja-JP"/>
        </w:rPr>
        <w:t xml:space="preserve"> information element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TAG-FEATURESETDOWNLINK-START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 ::=   </w:t>
      </w:r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featureSetListPerDownlinkCC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FeatureSetDownlinkPerCC-Id,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intraBandFreqSeparationDL               FreqSeparationClass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scalingFactor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{f0p4, f0p75, f0p8}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sz w:val="16"/>
          <w:lang w:eastAsia="en-GB"/>
        </w:rPr>
        <w:t xml:space="preserve">dummy8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scellWithoutSSB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csi-</w:t>
      </w:r>
      <w:r>
        <w:rPr>
          <w:rFonts w:ascii="Courier New" w:hAnsi="Courier New"/>
          <w:sz w:val="16"/>
          <w:lang w:eastAsia="en-GB"/>
        </w:rPr>
        <w:t xml:space="preserve">RS-MeasSCellWithoutSSB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dummy1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type1-3-</w:t>
      </w:r>
      <w:r>
        <w:rPr>
          <w:rFonts w:ascii="Courier New" w:hAnsi="Courier New"/>
          <w:sz w:val="16"/>
          <w:lang w:eastAsia="en-GB"/>
        </w:rPr>
        <w:t xml:space="preserve">CSS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pdcch-MonitoringAnyOccasions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{withoutDCI-Gap, withDCI-Gap}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dummy2      </w:t>
      </w:r>
      <w:r>
        <w:rPr>
          <w:rFonts w:ascii="Courier New" w:hAnsi="Courier New"/>
          <w:sz w:val="16"/>
          <w:lang w:eastAsia="en-GB"/>
        </w:rPr>
        <w:t xml:space="preserve">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ue-SpecificUL-DL-Assignment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searchSpaceShari</w:t>
      </w:r>
      <w:r>
        <w:rPr>
          <w:rFonts w:ascii="Courier New" w:hAnsi="Courier New"/>
          <w:sz w:val="16"/>
          <w:lang w:eastAsia="en-GB"/>
        </w:rPr>
        <w:t xml:space="preserve">ngCA-DL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timeDurationForQCL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{s7, s14, s28}                          </w:t>
      </w:r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scs-120kHz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{s14, s28}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</w:t>
      </w:r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pdsch-ProcessingType1-DifferentTB-PerSlot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{upto2, upto4, upto7}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{upto2, upto4, upto7}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{upto2, upto4, upto7}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scs-120kHz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</w:t>
      </w:r>
      <w:r>
        <w:rPr>
          <w:rFonts w:ascii="Courier New" w:hAnsi="Courier New"/>
          <w:color w:val="993366"/>
          <w:sz w:val="16"/>
          <w:lang w:eastAsia="en-GB"/>
        </w:rPr>
        <w:t>ERATED</w:t>
      </w:r>
      <w:r>
        <w:rPr>
          <w:rFonts w:ascii="Courier New" w:hAnsi="Courier New"/>
          <w:sz w:val="16"/>
          <w:lang w:eastAsia="en-GB"/>
        </w:rPr>
        <w:t xml:space="preserve"> {upto2, upto4, upto7}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dummy3                                  DummyA         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dummy4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maxNrofCodebooks))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DummyB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dummy5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maxNrofCodebooks))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DummyC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dummy6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maxNrofCodebooks))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DummyD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dummy7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</w:t>
      </w:r>
      <w:r>
        <w:rPr>
          <w:rFonts w:ascii="Courier New" w:hAnsi="Courier New"/>
          <w:sz w:val="16"/>
          <w:lang w:eastAsia="en-GB"/>
        </w:rPr>
        <w:t>. maxNrofCodebooks))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DummyE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FeatureSetDownlink-v1540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oneFL-DMRS-TwoAdditionalDMRS-DL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additionalDMRS-DL-Alt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twoFL-DMRS-TwoAdditionalDMRS-DL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oneFL-DMRS-ThreeAdditionalDMRS-DL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</w:t>
      </w:r>
      <w:r>
        <w:rPr>
          <w:rFonts w:ascii="Courier New" w:hAnsi="Courier New"/>
          <w:sz w:val="16"/>
          <w:lang w:eastAsia="en-GB"/>
        </w:rPr>
        <w:t xml:space="preserve"> pdcch-MonitoringAnyOccasionsWithSpanGap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{set1, set2, set3}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{set1, set2, set3}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{set1, set2, set3}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    scs-120kHz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{set1, set2, set3}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</w:t>
      </w:r>
      <w:r>
        <w:rPr>
          <w:rFonts w:ascii="Courier New" w:hAnsi="Courier New"/>
          <w:sz w:val="16"/>
          <w:lang w:eastAsia="en-GB"/>
        </w:rPr>
        <w:t xml:space="preserve">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pdsch-SeparationWithGap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pdsch-ProcessingType2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                               Proc</w:t>
      </w:r>
      <w:r>
        <w:rPr>
          <w:rFonts w:ascii="Courier New" w:hAnsi="Courier New"/>
          <w:sz w:val="16"/>
          <w:lang w:eastAsia="en-GB"/>
        </w:rPr>
        <w:t xml:space="preserve">essingParameters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                               ProcessingParameters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                               ProcessingParameters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pdsch-ProcessingType2-Limited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differentTB-PerSlot-SCS-30kHz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{upto1, upto2, upto4, upto7}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dl-MCS-TableAlt-DynamicIndication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FeatureSetDownlink-v15a0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supportedSRS-Resources              SRS-Resources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FeatureSetDownlink-v1610 ::=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808080"/>
          <w:sz w:val="16"/>
          <w:lang w:eastAsia="en-GB"/>
        </w:rPr>
        <w:t xml:space="preserve">-- R1 22-4e/4f/4g/4h: </w:t>
      </w:r>
      <w:r>
        <w:rPr>
          <w:rFonts w:ascii="Courier New" w:eastAsia="Malgun Gothic" w:hAnsi="Courier New"/>
          <w:color w:val="808080"/>
          <w:sz w:val="16"/>
          <w:lang w:eastAsia="en-GB"/>
        </w:rPr>
        <w:t>CBG based reception for DL with unicast PDSCH(s) per slot per CC with UE processing time Capability 1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sz w:val="16"/>
          <w:lang w:eastAsia="en-GB"/>
        </w:rPr>
        <w:t>cbgPDSCH-ProcessingType1-DifferentTB-PerSlot-r16</w:t>
      </w:r>
      <w:r>
        <w:rPr>
          <w:rFonts w:ascii="Courier New" w:hAnsi="Courier New"/>
          <w:sz w:val="16"/>
          <w:lang w:eastAsia="en-GB"/>
        </w:rPr>
        <w:t xml:space="preserve">   </w:t>
      </w:r>
      <w:r>
        <w:rPr>
          <w:rFonts w:ascii="Courier New" w:eastAsia="Malgun Gothic" w:hAnsi="Courier New"/>
          <w:color w:val="993366"/>
          <w:sz w:val="16"/>
          <w:lang w:eastAsia="en-GB"/>
        </w:rPr>
        <w:t>SEQUENCE</w:t>
      </w:r>
      <w:r>
        <w:rPr>
          <w:rFonts w:ascii="Courier New" w:eastAsia="Malgun Gothic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scs-15kHz-r16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</w:t>
      </w:r>
      <w:r>
        <w:rPr>
          <w:rFonts w:ascii="Courier New" w:eastAsia="Malgun Gothic" w:hAnsi="Courier New"/>
          <w:sz w:val="16"/>
          <w:lang w:eastAsia="en-GB"/>
        </w:rPr>
        <w:t>-30kHz-r16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scs-60kHz-r16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scs-120kHz-r16</w:t>
      </w:r>
      <w:r>
        <w:rPr>
          <w:rFonts w:ascii="Courier New" w:hAnsi="Courier New"/>
          <w:sz w:val="16"/>
          <w:lang w:eastAsia="en-GB"/>
        </w:rPr>
        <w:t xml:space="preserve">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sz w:val="16"/>
          <w:lang w:eastAsia="en-GB"/>
        </w:rPr>
        <w:t xml:space="preserve">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color w:val="808080"/>
          <w:sz w:val="16"/>
          <w:lang w:eastAsia="en-GB"/>
        </w:rPr>
        <w:t xml:space="preserve">-- R1 </w:t>
      </w:r>
      <w:r>
        <w:rPr>
          <w:rFonts w:ascii="Courier New" w:eastAsia="Malgun Gothic" w:hAnsi="Courier New"/>
          <w:color w:val="808080"/>
          <w:sz w:val="16"/>
          <w:lang w:eastAsia="en-GB"/>
        </w:rPr>
        <w:t>22-3e/3f/3g/3h: CBG based reception for DL with unicast PDSCH(s) per slot per CC with UE processing time Capability 2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sz w:val="16"/>
          <w:lang w:eastAsia="en-GB"/>
        </w:rPr>
        <w:t>cbgPDSCH-ProcessingType2-DifferentTB-PerSlot-r16</w:t>
      </w:r>
      <w:r>
        <w:rPr>
          <w:rFonts w:ascii="Courier New" w:hAnsi="Courier New"/>
          <w:sz w:val="16"/>
          <w:lang w:eastAsia="en-GB"/>
        </w:rPr>
        <w:t xml:space="preserve">   </w:t>
      </w:r>
      <w:r>
        <w:rPr>
          <w:rFonts w:ascii="Courier New" w:eastAsia="Malgun Gothic" w:hAnsi="Courier New"/>
          <w:color w:val="993366"/>
          <w:sz w:val="16"/>
          <w:lang w:eastAsia="en-GB"/>
        </w:rPr>
        <w:t>SEQUENCE</w:t>
      </w:r>
      <w:r>
        <w:rPr>
          <w:rFonts w:ascii="Courier New" w:eastAsia="Malgun Gothic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scs-15kHz-r16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scs-30kHz-r16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scs-60kHz-r16</w:t>
      </w: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Malgun Gothic" w:hAnsi="Courier New"/>
          <w:sz w:val="16"/>
          <w:lang w:eastAsia="en-GB"/>
        </w:rPr>
        <w:t>scs-120kHz-r16</w:t>
      </w:r>
      <w:r>
        <w:rPr>
          <w:rFonts w:ascii="Courier New" w:hAnsi="Courier New"/>
          <w:sz w:val="16"/>
          <w:lang w:eastAsia="en-GB"/>
        </w:rPr>
        <w:t xml:space="preserve">       </w:t>
      </w:r>
      <w:r>
        <w:rPr>
          <w:rFonts w:ascii="Courier New" w:eastAsia="Malgun Gothic" w:hAnsi="Courier New"/>
          <w:color w:val="993366"/>
          <w:sz w:val="16"/>
          <w:lang w:eastAsia="en-GB"/>
        </w:rPr>
        <w:t>ENUMERATED</w:t>
      </w:r>
      <w:r>
        <w:rPr>
          <w:rFonts w:ascii="Courier New" w:eastAsia="Malgun Gothic" w:hAnsi="Courier New"/>
          <w:sz w:val="16"/>
          <w:lang w:eastAsia="en-GB"/>
        </w:rPr>
        <w:t xml:space="preserve"> {one, upto2, upto4, upto7}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sz w:val="16"/>
          <w:lang w:eastAsia="en-GB"/>
        </w:rPr>
        <w:t xml:space="preserve">} </w:t>
      </w:r>
      <w:r>
        <w:rPr>
          <w:rFonts w:ascii="Courier New" w:eastAsia="Malgun Gothic" w:hAnsi="Courier New"/>
          <w:color w:val="993366"/>
          <w:sz w:val="16"/>
          <w:lang w:eastAsia="en-GB"/>
        </w:rPr>
        <w:t>OPTIONAL</w:t>
      </w:r>
      <w:r>
        <w:rPr>
          <w:rFonts w:ascii="Courier New" w:eastAsia="Malgun Gothic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intraFreqDAPS-r16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intraFreqDiffSCS-DAPS-r16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intraFreqAsyncDAPS-r16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intraBandFreqSeparationDL-v1620    FreqSeparationClassDL-v1620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intraBandFreqSeparationDL-Only-r16 FreqSeparationClassDL-Only-r16        </w:t>
      </w:r>
      <w:r>
        <w:rPr>
          <w:rFonts w:ascii="Courier New" w:hAnsi="Courier New"/>
          <w:color w:val="993366"/>
          <w:sz w:val="16"/>
          <w:lang w:eastAsia="en-GB"/>
        </w:rPr>
        <w:t>OPTIO</w:t>
      </w:r>
      <w:r>
        <w:rPr>
          <w:rFonts w:ascii="Courier New" w:hAnsi="Courier New"/>
          <w:color w:val="993366"/>
          <w:sz w:val="16"/>
          <w:lang w:eastAsia="en-GB"/>
        </w:rPr>
        <w:t>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11-2: Rel-16 PDCCH monitoring capability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pdcch-Monitoring-r16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pdsch-ProcessingType1-r16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scs-15kHz-r16                      PDCCH-MonitoringOccasions-r16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hAnsi="Courier New"/>
          <w:sz w:val="16"/>
          <w:lang w:eastAsia="en-GB"/>
        </w:rPr>
        <w:t xml:space="preserve">    scs-30kHz-r16                      PDCCH-MonitoringOccasions-r16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pdsch-ProcessingType2-r16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scs-15kHz-r16                </w:t>
      </w:r>
      <w:r>
        <w:rPr>
          <w:rFonts w:ascii="Courier New" w:hAnsi="Courier New"/>
          <w:sz w:val="16"/>
          <w:lang w:eastAsia="en-GB"/>
        </w:rPr>
        <w:t xml:space="preserve">  PDCCH-MonitoringOccasions-r16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scs-30kHz-r16                  PDCCH-MonitoringOccasions-r16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pdcch-MonitoringMixed-r16          </w:t>
      </w:r>
      <w:r>
        <w:rPr>
          <w:rFonts w:ascii="Courier New" w:hAnsi="Courier New"/>
          <w:color w:val="993366"/>
          <w:sz w:val="16"/>
          <w:lang w:eastAsia="en-GB"/>
        </w:rPr>
        <w:t>ENUMERA</w:t>
      </w:r>
      <w:r>
        <w:rPr>
          <w:rFonts w:ascii="Courier New" w:hAnsi="Courier New"/>
          <w:color w:val="993366"/>
          <w:sz w:val="16"/>
          <w:lang w:eastAsia="en-GB"/>
        </w:rPr>
        <w:t>TED</w:t>
      </w:r>
      <w:r>
        <w:rPr>
          <w:rFonts w:ascii="Courier New" w:hAnsi="Courier New"/>
          <w:sz w:val="16"/>
          <w:lang w:eastAsia="en-GB"/>
        </w:rPr>
        <w:t xml:space="preserve"> {supported}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18-5c: Processing up to X unicast DCI scheduling for DL per scheduled CC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crossCarrierSchedulingProcessing-DiffSCS-r16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scs-15kHz-120kHz-r16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{n1,n2,n4}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scs-15kHz-60kHz-r16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{n1,n2,n4}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scs-30kHz-120kHz-r16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{n1,n2,n4}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scs-15kHz-30kHz-r16                </w:t>
      </w:r>
      <w:r>
        <w:rPr>
          <w:rFonts w:ascii="Courier New" w:hAnsi="Courier New"/>
          <w:color w:val="993366"/>
          <w:sz w:val="16"/>
          <w:lang w:eastAsia="en-GB"/>
        </w:rPr>
        <w:t>ENUME</w:t>
      </w:r>
      <w:r>
        <w:rPr>
          <w:rFonts w:ascii="Courier New" w:hAnsi="Courier New"/>
          <w:color w:val="993366"/>
          <w:sz w:val="16"/>
          <w:lang w:eastAsia="en-GB"/>
        </w:rPr>
        <w:t>RATED</w:t>
      </w:r>
      <w:r>
        <w:rPr>
          <w:rFonts w:ascii="Courier New" w:hAnsi="Courier New"/>
          <w:sz w:val="16"/>
          <w:lang w:eastAsia="en-GB"/>
        </w:rPr>
        <w:t xml:space="preserve"> {n2}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scs-30kHz-60kHz-r16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{n2}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scs-60kHz-120kHz-r16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{n2}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</w:t>
      </w:r>
      <w:r>
        <w:rPr>
          <w:rFonts w:ascii="Courier New" w:hAnsi="Courier New"/>
          <w:sz w:val="16"/>
          <w:lang w:eastAsia="en-GB"/>
        </w:rPr>
        <w:t xml:space="preserve">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16-2b-1: Support of single-DCI based SDM scheme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singleDCI-SDM-scheme-r16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FeatureSetDownlink-v1700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36-2: Scaling f</w:t>
      </w:r>
      <w:r>
        <w:rPr>
          <w:rFonts w:ascii="Courier New" w:hAnsi="Courier New"/>
          <w:color w:val="808080"/>
          <w:sz w:val="16"/>
          <w:lang w:eastAsia="en-GB"/>
        </w:rPr>
        <w:t>actor to be applied to 1024QAM for FR1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scalingFactor-1024QAM-FR1-r17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{f0p4, f0p75, f0p8}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24 feature for existing UE cap to include new SCS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timeDurationForQCL-v1710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scs-480kHz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{s56, s112}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scs-960kHz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{s112, s224}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</w:t>
      </w:r>
      <w:r>
        <w:rPr>
          <w:rFonts w:ascii="Courier New" w:hAnsi="Courier New"/>
          <w:color w:val="993366"/>
          <w:sz w:val="16"/>
          <w:lang w:eastAsia="en-GB"/>
        </w:rPr>
        <w:t>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23-6-1</w:t>
      </w:r>
      <w:r>
        <w:rPr>
          <w:rFonts w:ascii="Courier New" w:hAnsi="Courier New"/>
          <w:color w:val="808080"/>
          <w:sz w:val="16"/>
          <w:lang w:eastAsia="en-GB"/>
        </w:rPr>
        <w:tab/>
        <w:t>SFN scheme A (scheme 1) for PDSCH and PDCCH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sfn-SchemeA-r17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23-6-1-1</w:t>
      </w:r>
      <w:r>
        <w:rPr>
          <w:rFonts w:ascii="Courier New" w:hAnsi="Courier New"/>
          <w:color w:val="808080"/>
          <w:sz w:val="16"/>
          <w:lang w:eastAsia="en-GB"/>
        </w:rPr>
        <w:tab/>
        <w:t>SFN scheme A (scheme 1) for PDCCH only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sfn-SchemeA-PDCCH-only-r17       </w:t>
      </w:r>
      <w:r>
        <w:rPr>
          <w:rFonts w:ascii="Courier New" w:hAnsi="Courier New"/>
          <w:color w:val="993366"/>
          <w:sz w:val="16"/>
          <w:lang w:eastAsia="en-GB"/>
        </w:rPr>
        <w:t>ENUMERATE</w:t>
      </w:r>
      <w:r>
        <w:rPr>
          <w:rFonts w:ascii="Courier New" w:hAnsi="Courier New"/>
          <w:color w:val="993366"/>
          <w:sz w:val="16"/>
          <w:lang w:eastAsia="en-GB"/>
        </w:rPr>
        <w:t>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23-6-1a</w:t>
      </w:r>
      <w:r>
        <w:rPr>
          <w:rFonts w:ascii="Courier New" w:hAnsi="Courier New"/>
          <w:color w:val="808080"/>
          <w:sz w:val="16"/>
          <w:lang w:eastAsia="en-GB"/>
        </w:rPr>
        <w:tab/>
        <w:t>Dynamic switching - scheme A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sfn-SchemeA-DynamicSwitching-r17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23-6-1b</w:t>
      </w:r>
      <w:r>
        <w:rPr>
          <w:rFonts w:ascii="Courier New" w:hAnsi="Courier New"/>
          <w:color w:val="808080"/>
          <w:sz w:val="16"/>
          <w:lang w:eastAsia="en-GB"/>
        </w:rPr>
        <w:tab/>
        <w:t>SFN scheme A (scheme 1) for PDSCH only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sfn-SchemeA-PDSCH-on</w:t>
      </w:r>
      <w:r>
        <w:rPr>
          <w:rFonts w:ascii="Courier New" w:hAnsi="Courier New"/>
          <w:sz w:val="16"/>
          <w:lang w:eastAsia="en-GB"/>
        </w:rPr>
        <w:t xml:space="preserve">ly-r17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23-6-2</w:t>
      </w:r>
      <w:r>
        <w:rPr>
          <w:rFonts w:ascii="Courier New" w:hAnsi="Courier New"/>
          <w:color w:val="808080"/>
          <w:sz w:val="16"/>
          <w:lang w:eastAsia="en-GB"/>
        </w:rPr>
        <w:tab/>
        <w:t>SFN scheme B (TRP based pre-compensation) for PDSCH and PDCCH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sfn-SchemeB-r17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23-6-2a</w:t>
      </w:r>
      <w:r>
        <w:rPr>
          <w:rFonts w:ascii="Courier New" w:hAnsi="Courier New"/>
          <w:color w:val="808080"/>
          <w:sz w:val="16"/>
          <w:lang w:eastAsia="en-GB"/>
        </w:rPr>
        <w:tab/>
        <w:t>Dynamic s</w:t>
      </w:r>
      <w:r>
        <w:rPr>
          <w:rFonts w:ascii="Courier New" w:hAnsi="Courier New"/>
          <w:color w:val="808080"/>
          <w:sz w:val="16"/>
          <w:lang w:eastAsia="en-GB"/>
        </w:rPr>
        <w:t>witching - scheme B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sfn-SchemeB-DynamicSwitching-r17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23-6-2b</w:t>
      </w:r>
      <w:r>
        <w:rPr>
          <w:rFonts w:ascii="Courier New" w:hAnsi="Courier New"/>
          <w:color w:val="808080"/>
          <w:sz w:val="16"/>
          <w:lang w:eastAsia="en-GB"/>
        </w:rPr>
        <w:tab/>
        <w:t>SFN scheme B (TRP based pre-compensation) for PDSCH only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sfn-SchemeB-PDSCH-only-r17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23-2-1d</w:t>
      </w:r>
      <w:r>
        <w:rPr>
          <w:rFonts w:ascii="Courier New" w:hAnsi="Courier New"/>
          <w:color w:val="808080"/>
          <w:sz w:val="16"/>
          <w:lang w:eastAsia="en-GB"/>
        </w:rPr>
        <w:tab/>
        <w:t>PDCCH repetition for Case 2 PDCCH monitoring with a span gap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mTRP-PDCCH-Case2-1SpanGap-r17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scs-15kHz-r17                    PDCCH-RepetitionParameters-r17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scs-30kHz-r17                    PDCCH-RepetitionParameters-r17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scs-60kHz-r17                    PDCCH-RepetitionParameters-r17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scs-120kHz-r17                   PDCCH-RepetitionParameters-r17      </w:t>
      </w:r>
      <w:r>
        <w:rPr>
          <w:rFonts w:ascii="Courier New" w:hAnsi="Courier New"/>
          <w:color w:val="993366"/>
          <w:sz w:val="16"/>
          <w:lang w:eastAsia="en-GB"/>
        </w:rPr>
        <w:t>OPTIO</w:t>
      </w:r>
      <w:r>
        <w:rPr>
          <w:rFonts w:ascii="Courier New" w:hAnsi="Courier New"/>
          <w:color w:val="993366"/>
          <w:sz w:val="16"/>
          <w:lang w:eastAsia="en-GB"/>
        </w:rPr>
        <w:t>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23-2-1e</w:t>
      </w:r>
      <w:r>
        <w:rPr>
          <w:rFonts w:ascii="Courier New" w:hAnsi="Courier New"/>
          <w:color w:val="808080"/>
          <w:sz w:val="16"/>
          <w:lang w:eastAsia="en-GB"/>
        </w:rPr>
        <w:tab/>
        <w:t>PDCCH repetition for Rel-16 PDCCH monitoring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mTRP-PDCCH-legacyMonitoring-r17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scs-15kHz-r17                    PDCCH-Repetit</w:t>
      </w:r>
      <w:r>
        <w:rPr>
          <w:rFonts w:ascii="Courier New" w:hAnsi="Courier New"/>
          <w:sz w:val="16"/>
          <w:lang w:eastAsia="en-GB"/>
        </w:rPr>
        <w:t xml:space="preserve">ionParameters-r17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scs-30kHz-r17                    PDCCH-RepetitionParameters-r17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 23-2-4</w:t>
      </w:r>
      <w:r>
        <w:rPr>
          <w:rFonts w:ascii="Courier New" w:hAnsi="Courier New"/>
          <w:color w:val="808080"/>
          <w:sz w:val="16"/>
          <w:lang w:eastAsia="en-GB"/>
        </w:rPr>
        <w:tab/>
        <w:t>Simultaneous configuration of PD</w:t>
      </w:r>
      <w:r>
        <w:rPr>
          <w:rFonts w:ascii="Courier New" w:hAnsi="Courier New"/>
          <w:color w:val="808080"/>
          <w:sz w:val="16"/>
          <w:lang w:eastAsia="en-GB"/>
        </w:rPr>
        <w:t>CCH repetition and multi-DCI based multi-TRP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mTRP-PDCCH-multiDCI-multiTRP-r17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33-2:</w:t>
      </w:r>
      <w:r>
        <w:rPr>
          <w:rFonts w:ascii="Courier New" w:hAnsi="Courier New"/>
          <w:color w:val="808080"/>
          <w:sz w:val="16"/>
          <w:lang w:eastAsia="en-GB"/>
        </w:rPr>
        <w:tab/>
        <w:t>Dynamic scheduling for multicast for PCell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dynamicMulticastPCell-r17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</w:t>
      </w:r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23-2-1</w:t>
      </w:r>
      <w:r>
        <w:rPr>
          <w:rFonts w:ascii="Courier New" w:hAnsi="Courier New"/>
          <w:color w:val="808080"/>
          <w:sz w:val="16"/>
          <w:lang w:eastAsia="en-GB"/>
        </w:rPr>
        <w:tab/>
        <w:t>PDCCH repetition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mTRP-PDCCH-Repetition-r17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numBD-twoPDCCH-r17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(2..3),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maxNumOverlaps-r17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{n1,n2,n3,n5,n10,n20,n40}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FeatureSetDownlink-v1720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25-19: RTT-based Propagation delay compensation based on CSI-RS for tracking and SRS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rtt-BasedPDC-CSI-RS-ForTracking-r17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25-19a: RTT-based Propagation delay compensation based on DL PRS for RTT-based PDC and SRS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rtt-BasedPDC-PRS-r17</w:t>
      </w:r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maxNumberPRS-Resource-r17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n2, n4, n8, n16, n32, n64},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maxNumberPRS-ResourceProcessedPerSlot-r17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scs-15kHz-r17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</w:t>
      </w:r>
      <w:r>
        <w:rPr>
          <w:rFonts w:ascii="Courier New" w:hAnsi="Courier New"/>
          <w:color w:val="993366"/>
          <w:sz w:val="16"/>
          <w:lang w:eastAsia="en-GB"/>
        </w:rPr>
        <w:t>ATED</w:t>
      </w:r>
      <w:r>
        <w:rPr>
          <w:rFonts w:ascii="Courier New" w:hAnsi="Courier New"/>
          <w:sz w:val="16"/>
          <w:lang w:eastAsia="en-GB"/>
        </w:rPr>
        <w:t xml:space="preserve"> {n1, n2, n4, n6, n8, n12, n16, n24, n32, n48, n64}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scs-30kHz-r17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n2, n4, n6, n8, n12, n16, n24, n32, n48, n64}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scs-60kHz-r17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n2, n4, n6, n8, n12, n16, n24, n32, n48, n64}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scs-120kHz-r17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n2, n4, n6, n8, n12, n16, n24, n32, n48, n64}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33-5-1: SPS group-common PDSCH for multicast on PCell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sps-Multicast-r17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FeatureSetDownlink-v1730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25-19b: Support of PRS as spatial relation RS for SRS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prs-AsSpatialRelationRS-For-SRS-r17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</w:t>
      </w:r>
      <w:r>
        <w:rPr>
          <w:rFonts w:ascii="Courier New" w:hAnsi="Courier New"/>
          <w:sz w:val="16"/>
          <w:lang w:eastAsia="en-GB"/>
        </w:rPr>
        <w:t xml:space="preserve">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FeatureSetDownlink-v1800 ::=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40-4-1: Basic feature of Rel.18 enhanced DMRS ports for PDSCH for mapping type A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pdsch-TypeA-DMRS-r18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40-4-1a: Basic feature of Rel.18 enhanced DMRS ports for PDSCH for mapping type B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pdsch-TypeB-DMRS-r18     </w:t>
      </w:r>
      <w:r>
        <w:rPr>
          <w:rFonts w:ascii="Courier New" w:hAnsi="Courier New"/>
          <w:sz w:val="16"/>
          <w:lang w:eastAsia="en-GB"/>
        </w:rPr>
        <w:t xml:space="preserve">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40-4-1b: 1 symbol FL DMRS and 2 additional DMRS symbols for more than one port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pdsch-1SymbolFL-</w:t>
      </w:r>
      <w:r>
        <w:rPr>
          <w:rFonts w:ascii="Courier New" w:hAnsi="Courier New"/>
          <w:sz w:val="16"/>
          <w:lang w:eastAsia="en-GB"/>
        </w:rPr>
        <w:t xml:space="preserve">DMRS-Addition2Symbol-r18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40-4-1c: Alternative additional DMRS position for co-existence with LTE CRS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pdsch-Alte</w:t>
      </w:r>
      <w:r>
        <w:rPr>
          <w:rFonts w:ascii="Courier New" w:hAnsi="Courier New"/>
          <w:sz w:val="16"/>
          <w:lang w:eastAsia="en-GB"/>
        </w:rPr>
        <w:t xml:space="preserve">rnativeDMRS-Coexistence-r18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40-4-1d: 2 symbols FL-DMRS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pdsch-2SymbolFL-DMRS-r18                        </w:t>
      </w:r>
      <w:r>
        <w:rPr>
          <w:rFonts w:ascii="Courier New" w:hAnsi="Courier New"/>
          <w:color w:val="993366"/>
          <w:sz w:val="16"/>
          <w:lang w:eastAsia="en-GB"/>
        </w:rPr>
        <w:t>ENUME</w:t>
      </w:r>
      <w:r>
        <w:rPr>
          <w:rFonts w:ascii="Courier New" w:hAnsi="Courier New"/>
          <w:color w:val="993366"/>
          <w:sz w:val="16"/>
          <w:lang w:eastAsia="en-GB"/>
        </w:rPr>
        <w:t>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40-4-1e: 2-symbol FL DMRS + one additional 2-symbols DMRS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pdsch-2SymbolFL-DMRS-Addition2Symbol-r18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40-4-1f: 1 symbol FL DMRS and 3 additional DMRS symbols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pdsch-1SymbolFL-DMRS-Addition3Symbol-r18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40-4-1g: DMRS type for Rel.18 enhanced DMRS ports for PDSCH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pdsch-DMRS-Type-r18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{etype1, etype1And2}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</w:t>
      </w:r>
      <w:r>
        <w:rPr>
          <w:rFonts w:ascii="Courier New" w:hAnsi="Courier New"/>
          <w:color w:val="993366"/>
          <w:sz w:val="16"/>
          <w:lang w:eastAsia="en-GB"/>
        </w:rPr>
        <w:t>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40-4-1h: 1 port DL PTRS for Rel.18 enhanced DMRS ports for PDSCH with rank 1-8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pdsch-1PortDL-PTRS-r18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40-4-1i: 2 por</w:t>
      </w:r>
      <w:r>
        <w:rPr>
          <w:rFonts w:ascii="Courier New" w:hAnsi="Courier New"/>
          <w:color w:val="808080"/>
          <w:sz w:val="16"/>
          <w:lang w:eastAsia="en-GB"/>
        </w:rPr>
        <w:t>t DL PTRS for Rel.18 enhanced DMRS ports for PDSCH with rank 1-8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pdsch-2PortDL-PTRS-r18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40-4-1j: Support 1 symbol FL DMRS and 2 additi</w:t>
      </w:r>
      <w:r>
        <w:rPr>
          <w:rFonts w:ascii="Courier New" w:hAnsi="Courier New"/>
          <w:color w:val="808080"/>
          <w:sz w:val="16"/>
          <w:lang w:eastAsia="en-GB"/>
        </w:rPr>
        <w:t>onal DMRS symbols for at least one port for mapping type A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mappingTypeA-1SymbolFL-DMRS-Addition2Symbol-r18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 xml:space="preserve">-- R1 40-4-4: Reception of PDSCH without the scheduling </w:t>
      </w:r>
      <w:r>
        <w:rPr>
          <w:rFonts w:ascii="Courier New" w:hAnsi="Courier New"/>
          <w:color w:val="808080"/>
          <w:sz w:val="16"/>
          <w:lang w:eastAsia="en-GB"/>
        </w:rPr>
        <w:t>restriction for Rel.18 eType1 DMRS ports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pdsch-ReceptionWithoutSchedulingRestriction-r18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40-4-4a: Reception of PDSCH without the scheduling restriction for Rel</w:t>
      </w:r>
      <w:r>
        <w:rPr>
          <w:rFonts w:ascii="Courier New" w:hAnsi="Courier New"/>
          <w:color w:val="808080"/>
          <w:sz w:val="16"/>
          <w:lang w:eastAsia="en-GB"/>
        </w:rPr>
        <w:t>.18 eType1 DMRS ports for PDSCH with fdmSchemeA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pdsch-ReceptionSchemeA-r18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 xml:space="preserve">-- R1 40-4-4b: Reception of PDSCH without the scheduling restriction </w:t>
      </w:r>
      <w:r>
        <w:rPr>
          <w:rFonts w:ascii="Courier New" w:hAnsi="Courier New"/>
          <w:color w:val="808080"/>
          <w:sz w:val="16"/>
          <w:lang w:eastAsia="en-GB"/>
        </w:rPr>
        <w:t>for Rel.18 eType1 DMRS ports for PDSCH with fdmSchemeB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pdsch-ReceptionSchemeB-r18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40-4-5: Rel-18 DL DMRS with single DCI based M-TRP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sz w:val="16"/>
          <w:lang w:eastAsia="en-GB"/>
        </w:rPr>
        <w:t xml:space="preserve">dmrs-MultiTRP-SingleDCI-r18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40-4-5a: Additional row(s) for antenna ports (0,2,3) for Rel.18 DMRS ports for single-DCI based M-TRP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dmrs-Mult</w:t>
      </w:r>
      <w:r>
        <w:rPr>
          <w:rFonts w:ascii="Courier New" w:hAnsi="Courier New"/>
          <w:sz w:val="16"/>
          <w:lang w:eastAsia="en-GB"/>
        </w:rPr>
        <w:t xml:space="preserve">iTRP-AddtionRows-r18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40-4-7: Rel-18 DL DMRS with M-DCI based M-TRP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dmrs-MultiTRP-MultiDCI-r18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40-4-12: Support of Rel-18 DMRS and PDSCH processing capability 2 simultaneously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simulDMRS-PDSCH-r18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scs-15kHz-r18                        </w:t>
      </w:r>
      <w:r>
        <w:rPr>
          <w:rFonts w:ascii="Courier New" w:hAnsi="Courier New"/>
          <w:sz w:val="16"/>
          <w:lang w:eastAsia="en-GB"/>
        </w:rPr>
        <w:t xml:space="preserve">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(0..4)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scs-30kHz-r18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(0..5)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scs-60kHz-r18          </w:t>
      </w:r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(0..7)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53-1: S</w:t>
      </w:r>
      <w:r>
        <w:rPr>
          <w:rFonts w:ascii="Courier New" w:hAnsi="Courier New"/>
          <w:color w:val="808080"/>
          <w:sz w:val="16"/>
          <w:lang w:eastAsia="en-GB"/>
        </w:rPr>
        <w:t>upport RLM/BM/BFD and gapless L3 intra-frequency measurements based on CD-SSB outside active BWP without interruptions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bwpOperationMeasWithoutInterrupt-r18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55-6: (2, 2) span-based PDCCH monitoring with additional restriction(s)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pdcch-MonitoringSpan2-2-r18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eastAsia="Arial Unicode MS" w:hAnsi="Courier New"/>
          <w:sz w:val="16"/>
          <w:lang w:eastAsia="en-GB"/>
        </w:rPr>
        <w:t>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pdsch-ProcessingType1-r18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eastAsia="Arial Unicode MS" w:hAnsi="Courier New"/>
          <w:sz w:val="16"/>
          <w:lang w:eastAsia="en-GB"/>
        </w:rPr>
        <w:t>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    scs-15kHz-r18                     </w:t>
      </w:r>
      <w:r>
        <w:rPr>
          <w:rFonts w:ascii="Courier New" w:eastAsia="Arial Unicode MS" w:hAnsi="Courier New"/>
          <w:sz w:val="16"/>
          <w:lang w:eastAsia="en-GB"/>
        </w:rPr>
        <w:t xml:space="preserve">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eastAsia="Arial Unicode MS" w:hAnsi="Courier New"/>
          <w:sz w:val="16"/>
          <w:lang w:eastAsia="en-GB"/>
        </w:rPr>
        <w:t xml:space="preserve"> {supported}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eastAsia="Arial Unicode MS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    scs-30kHz-r18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eastAsia="Arial Unicode MS" w:hAnsi="Courier New"/>
          <w:sz w:val="16"/>
          <w:lang w:eastAsia="en-GB"/>
        </w:rPr>
        <w:t xml:space="preserve"> {supported}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pdsch-Processi</w:t>
      </w:r>
      <w:r>
        <w:rPr>
          <w:rFonts w:ascii="Courier New" w:eastAsia="Arial Unicode MS" w:hAnsi="Courier New"/>
          <w:sz w:val="16"/>
          <w:lang w:eastAsia="en-GB"/>
        </w:rPr>
        <w:t xml:space="preserve">ngType2-r18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eastAsia="Arial Unicode MS" w:hAnsi="Courier New"/>
          <w:sz w:val="16"/>
          <w:lang w:eastAsia="en-GB"/>
        </w:rPr>
        <w:t>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    scs-15kHz-r18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eastAsia="Arial Unicode MS" w:hAnsi="Courier New"/>
          <w:sz w:val="16"/>
          <w:lang w:eastAsia="en-GB"/>
        </w:rPr>
        <w:t xml:space="preserve"> {supported}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eastAsia="Arial Unicode MS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    scs-30kHz-r18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eastAsia="Arial Unicode MS" w:hAnsi="Courier New"/>
          <w:sz w:val="16"/>
          <w:lang w:eastAsia="en-GB"/>
        </w:rPr>
        <w:t xml:space="preserve"> {suppo</w:t>
      </w:r>
      <w:r>
        <w:rPr>
          <w:rFonts w:ascii="Courier New" w:eastAsia="Arial Unicode MS" w:hAnsi="Courier New"/>
          <w:sz w:val="16"/>
          <w:lang w:eastAsia="en-GB"/>
        </w:rPr>
        <w:t xml:space="preserve">rted}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Arial Unicode MS" w:hAnsi="Courier New"/>
          <w:sz w:val="16"/>
          <w:lang w:eastAsia="en-GB"/>
        </w:rPr>
      </w:pPr>
      <w:r>
        <w:rPr>
          <w:rFonts w:ascii="Courier New" w:eastAsia="Arial Unicode MS" w:hAnsi="Courier New"/>
          <w:sz w:val="16"/>
          <w:lang w:eastAsia="en-GB"/>
        </w:rPr>
        <w:t xml:space="preserve">        }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</w:t>
      </w:r>
      <w:r>
        <w:rPr>
          <w:rFonts w:ascii="Courier New" w:eastAsia="Arial Unicode MS" w:hAnsi="Courier New"/>
          <w:sz w:val="16"/>
          <w:lang w:eastAsia="en-GB"/>
        </w:rPr>
        <w:t xml:space="preserve">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R1 55-6b: Mix of Rel-16 PDCCH monitoring capabi</w:t>
      </w:r>
      <w:r>
        <w:rPr>
          <w:rFonts w:ascii="Courier New" w:hAnsi="Courier New"/>
          <w:color w:val="808080"/>
          <w:sz w:val="16"/>
          <w:lang w:eastAsia="en-GB"/>
        </w:rPr>
        <w:t>lity and Rel. 15 PDCCH monitoring capability on different carriers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pdcch-MonitoringMixed-r18                 </w:t>
      </w:r>
      <w:r>
        <w:rPr>
          <w:rFonts w:ascii="Courier New" w:eastAsia="Arial Unicode MS" w:hAnsi="Courier New"/>
          <w:sz w:val="16"/>
          <w:lang w:eastAsia="en-GB"/>
        </w:rPr>
        <w:t xml:space="preserve">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</w:t>
      </w:r>
      <w:r>
        <w:rPr>
          <w:rFonts w:ascii="Courier New" w:eastAsia="Arial Unicode MS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R4 42-1: Support of SCell without SS/PBCH block</w:t>
      </w:r>
      <w:r>
        <w:rPr>
          <w:rFonts w:ascii="Courier New" w:hAnsi="Courier New"/>
          <w:color w:val="808080"/>
          <w:sz w:val="16"/>
          <w:lang w:eastAsia="en-GB"/>
        </w:rPr>
        <w:t xml:space="preserve"> for inter-band CA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etw_Energy_NR-Core" w:date="2024-05-27T20:36:00Z"/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scellWithoutSSB-InterBandCA-r18                 </w:t>
      </w:r>
      <w:ins w:id="5" w:author="Netw_Energy_NR-Core" w:date="2024-05-27T20:38:00Z">
        <w:r>
          <w:rPr>
            <w:rFonts w:ascii="Courier New" w:hAnsi="Courier New" w:cs="Courier New"/>
            <w:color w:val="993366"/>
            <w:sz w:val="16"/>
            <w:szCs w:val="16"/>
          </w:rPr>
          <w:t>CHOICE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6" w:author="Netw_Energy_NR-Core" w:date="2024-05-27T20:36:00Z">
        <w:r>
          <w:rPr>
            <w:rFonts w:ascii="Courier New" w:hAnsi="Courier New"/>
            <w:sz w:val="16"/>
            <w:lang w:eastAsia="en-GB"/>
          </w:rPr>
          <w:t>{</w:t>
        </w:r>
      </w:ins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Netw_Energy_NR-Core" w:date="2024-05-27T20:36:00Z"/>
          <w:rFonts w:ascii="Courier New" w:hAnsi="Courier New"/>
          <w:sz w:val="16"/>
          <w:lang w:eastAsia="en-GB"/>
        </w:rPr>
      </w:pPr>
      <w:ins w:id="8" w:author="Netw_Energy_NR-Core" w:date="2024-05-27T20:36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9" w:author="Netw_Energy_NR-Core" w:date="2024-05-29T18:31:00Z">
        <w:r>
          <w:rPr>
            <w:rFonts w:ascii="Courier New" w:hAnsi="Courier New"/>
            <w:sz w:val="16"/>
            <w:lang w:eastAsia="en-GB"/>
          </w:rPr>
          <w:t>supportOfSingleGroup</w:t>
        </w:r>
      </w:ins>
      <w:ins w:id="10" w:author="Netw_Energy_NR-Core" w:date="2024-05-27T20:39:00Z">
        <w:r>
          <w:rPr>
            <w:rFonts w:ascii="Courier New" w:hAnsi="Courier New"/>
            <w:sz w:val="16"/>
            <w:lang w:eastAsia="en-GB"/>
          </w:rPr>
          <w:t xml:space="preserve">                            </w:t>
        </w:r>
      </w:ins>
      <w:ins w:id="11" w:author="Netw_Energy_NR-Core" w:date="2024-05-30T21:53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   </w:t>
        </w:r>
      </w:ins>
      <w:ins w:id="12" w:author="Netw_Energy_NR-Core" w:date="2024-05-27T20:39:00Z"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</w:ins>
      <w:ins w:id="13" w:author="Netw_Energy_NR-Core" w:date="2024-05-27T20:36:00Z">
        <w:r>
          <w:rPr>
            <w:rFonts w:ascii="Courier New" w:hAnsi="Courier New"/>
            <w:sz w:val="16"/>
            <w:lang w:eastAsia="en-GB"/>
          </w:rPr>
          <w:t xml:space="preserve"> {</w:t>
        </w:r>
      </w:ins>
      <w:ins w:id="14" w:author="Netw_Energy_NR-Core" w:date="2024-05-27T20:40:00Z">
        <w:r>
          <w:rPr>
            <w:rFonts w:ascii="Courier New" w:hAnsi="Courier New"/>
            <w:sz w:val="16"/>
            <w:lang w:eastAsia="en-GB"/>
          </w:rPr>
          <w:t>referenceBand, scellWithoutSSB, both</w:t>
        </w:r>
      </w:ins>
      <w:ins w:id="15" w:author="Netw_Energy_NR-Core" w:date="2024-05-27T20:36:00Z">
        <w:r>
          <w:rPr>
            <w:rFonts w:ascii="Courier New" w:hAnsi="Courier New"/>
            <w:sz w:val="16"/>
            <w:lang w:eastAsia="en-GB"/>
          </w:rPr>
          <w:t>},</w:t>
        </w:r>
      </w:ins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etw_Energy_NR-Core" w:date="2024-05-27T20:36:00Z"/>
          <w:rFonts w:ascii="Courier New" w:hAnsi="Courier New"/>
          <w:sz w:val="16"/>
          <w:lang w:eastAsia="en-GB"/>
        </w:rPr>
      </w:pPr>
      <w:ins w:id="17" w:author="Netw_Energy_NR-Core" w:date="2024-05-27T20:36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18" w:author="Netw_Energy_NR-Core" w:date="2024-05-29T18:31:00Z">
        <w:r>
          <w:rPr>
            <w:rFonts w:ascii="Courier New" w:hAnsi="Courier New"/>
            <w:sz w:val="16"/>
            <w:lang w:eastAsia="en-GB"/>
          </w:rPr>
          <w:t>supportOfMulti</w:t>
        </w:r>
      </w:ins>
      <w:ins w:id="19" w:author="Netw_Energy_NR-Core" w:date="2024-05-30T21:53:00Z">
        <w:r>
          <w:rPr>
            <w:rFonts w:ascii="Courier New" w:eastAsia="宋体" w:hAnsi="Courier New" w:hint="eastAsia"/>
            <w:sz w:val="16"/>
            <w:lang w:val="en-US" w:eastAsia="zh-CN"/>
          </w:rPr>
          <w:t>ple</w:t>
        </w:r>
      </w:ins>
      <w:ins w:id="20" w:author="Netw_Energy_NR-Core" w:date="2024-05-29T18:31:00Z">
        <w:r>
          <w:rPr>
            <w:rFonts w:ascii="Courier New" w:hAnsi="Courier New"/>
            <w:sz w:val="16"/>
            <w:lang w:eastAsia="en-GB"/>
          </w:rPr>
          <w:t>Group</w:t>
        </w:r>
      </w:ins>
      <w:ins w:id="21" w:author="Netw_Energy_NR-Core" w:date="2024-05-30T21:53:00Z">
        <w:r>
          <w:rPr>
            <w:rFonts w:ascii="Courier New" w:eastAsia="宋体" w:hAnsi="Courier New" w:hint="eastAsia"/>
            <w:sz w:val="16"/>
            <w:lang w:val="en-US" w:eastAsia="zh-CN"/>
          </w:rPr>
          <w:t>s</w:t>
        </w:r>
      </w:ins>
      <w:ins w:id="22" w:author="Netw_Energy_NR-Core" w:date="2024-05-27T20:39:00Z">
        <w:r>
          <w:rPr>
            <w:rFonts w:ascii="Courier New" w:hAnsi="Courier New"/>
            <w:sz w:val="16"/>
            <w:lang w:eastAsia="en-GB"/>
          </w:rPr>
          <w:t xml:space="preserve">                        </w:t>
        </w:r>
      </w:ins>
      <w:ins w:id="23" w:author="Netw_Energy_NR-Core" w:date="2024-05-30T21:53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    </w:t>
        </w:r>
      </w:ins>
      <w:ins w:id="24" w:author="Netw_Energy_NR-Core" w:date="2024-05-27T20:40:00Z"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25" w:author="Netw_Energy_NR-Core" w:date="2024-05-27T20:36:00Z">
        <w:r>
          <w:rPr>
            <w:rFonts w:ascii="Courier New" w:hAnsi="Courier New"/>
            <w:sz w:val="16"/>
            <w:lang w:eastAsia="en-GB"/>
          </w:rPr>
          <w:t>{</w:t>
        </w:r>
      </w:ins>
      <w:ins w:id="26" w:author="Netw_Energy_NR-Core" w:date="2024-05-27T20:40:00Z">
        <w:r>
          <w:rPr>
            <w:rFonts w:ascii="Courier New" w:hAnsi="Courier New"/>
            <w:sz w:val="16"/>
            <w:lang w:eastAsia="en-GB"/>
          </w:rPr>
          <w:t>referenceBand1, scellWithoutSSB1, referenceBand2, scellWithoutSSB2</w:t>
        </w:r>
      </w:ins>
      <w:ins w:id="27" w:author="Netw_Energy_NR-Core" w:date="2024-05-27T20:36:00Z">
        <w:r>
          <w:rPr>
            <w:rFonts w:ascii="Courier New" w:hAnsi="Courier New"/>
            <w:sz w:val="16"/>
            <w:lang w:eastAsia="en-GB"/>
          </w:rPr>
          <w:t>}</w:t>
        </w:r>
      </w:ins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28" w:author="Netw_Energy_NR-Core" w:date="2024-05-27T20:36:00Z">
        <w:r>
          <w:rPr>
            <w:rFonts w:ascii="Courier New" w:hAnsi="Courier New"/>
            <w:sz w:val="16"/>
            <w:lang w:eastAsia="en-GB"/>
          </w:rPr>
          <w:t xml:space="preserve">    }                                                                                                                        </w:t>
        </w:r>
      </w:ins>
      <w:del w:id="29" w:author="Netw_Energy_NR-Core" w:date="2024-05-27T20:36:00Z">
        <w:r>
          <w:rPr>
            <w:rFonts w:ascii="Courier New" w:hAnsi="Courier New"/>
            <w:color w:val="993366"/>
            <w:sz w:val="16"/>
            <w:lang w:eastAsia="en-GB"/>
          </w:rPr>
          <w:delText>ENUMERATED</w:delText>
        </w:r>
        <w:r>
          <w:rPr>
            <w:rFonts w:ascii="Courier New" w:hAnsi="Courier New"/>
            <w:sz w:val="16"/>
            <w:lang w:eastAsia="en-GB"/>
          </w:rPr>
          <w:delText xml:space="preserve"> {supported}                                                   </w:delText>
        </w:r>
      </w:del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multicastInactive-r18   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thresholdBasedMulticastResume-r18           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PDCCH-MonitoringOccasions-r16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period7span3-r16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period4span3-r16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period2span2-r16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PDCCH-RepetitionParameters-r17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supportedMode-r17             </w:t>
      </w:r>
      <w:r>
        <w:rPr>
          <w:rFonts w:ascii="Courier New" w:hAnsi="Courier New"/>
          <w:sz w:val="16"/>
          <w:lang w:eastAsia="en-GB"/>
        </w:rPr>
        <w:t xml:space="preserve">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{intra-span, inter-span, both},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limitX-PerCC-r17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{n4, n8, n16, n32, n44, n64, nolimit}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limitX-AcrossCC-r17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{n4, n8, n16, n32, n44, n64, n128, n256, n512, nolimit}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DummyA ::=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maxNumberNZP-CSI-RS-PerCC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(1..32),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maxNumberPortsAcrossNZP-CSI-RS-PerCC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{p2, p4, p8, p12, p16, p24, p32, </w:t>
      </w:r>
      <w:r>
        <w:rPr>
          <w:rFonts w:ascii="Courier New" w:hAnsi="Courier New"/>
          <w:sz w:val="16"/>
          <w:lang w:eastAsia="en-GB"/>
        </w:rPr>
        <w:t>p40, p48, p56, p64, p72, p80,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p176, p184, p192, p200, p208, p216, p224, </w:t>
      </w:r>
      <w:r>
        <w:rPr>
          <w:rFonts w:ascii="Courier New" w:hAnsi="Courier New"/>
          <w:sz w:val="16"/>
          <w:lang w:eastAsia="en-GB"/>
        </w:rPr>
        <w:t>p232, p240, p248, p256},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maxNumberCS-IM-PerCC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{n1, n2, n4, n8, n16, n32},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maxNumberSimultaneousCSI-RS-ActBWP-AllCC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{n5, n6, n7, n8, n9, n10, n12, n14, n16, n18, n20, n22, n24, n26,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n28, n30, n32, n34, n36, n38, n40, n42, n44, n46, n48, n50, n52,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    n54, n56, n58, n60, n62, n64},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totalNumberPortsSimultaneousCSI-RS-ActBWP-AllCC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{p8, p12, p16, p24, p32, p40, p48, p56, p64, p72, p80,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p176, p184, p192, p200, p208, p216, p224, p232, p240, p248, p256}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DummyB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maxNumberTxPortsPerResource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{p2, p4, p8, p12, p16, p24, p32},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maxNumberResourc</w:t>
      </w:r>
      <w:r>
        <w:rPr>
          <w:rFonts w:ascii="Courier New" w:hAnsi="Courier New"/>
          <w:sz w:val="16"/>
          <w:lang w:eastAsia="en-GB"/>
        </w:rPr>
        <w:t xml:space="preserve">es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(1..64),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totalNumberTxPorts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(2..256),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supportedCodebookMode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{mode1, mode1AndMode2},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maxNumberCSI-RS-PerResourceSet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(1..8)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DummyC ::=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maxNumberTxPortsPerResource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{p8, p16, p32},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maxNumberResources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(1..64),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totalNumberTxPorts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(2..256),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supportedCodebookMode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{mode1, mode2, both},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supportedNumberPanels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{n2, n4},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maxNumberCSI-RS-PerResourceSet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(1..8)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DummyD ::=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maxNumberTxPortsPerResource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{p4, p8, p12, p16, p24, p32},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maxNumberResources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(1..64),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totalNumberTxPorts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(2..256),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parameterLx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amplitudeScalingType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{wideband, widebandAndSubband},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</w:t>
      </w:r>
      <w:r>
        <w:rPr>
          <w:rFonts w:ascii="Courier New" w:hAnsi="Courier New"/>
          <w:sz w:val="16"/>
          <w:lang w:eastAsia="en-GB"/>
        </w:rPr>
        <w:t xml:space="preserve">  amplitudeSubsetRestriction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{supported}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maxNumberCSI-RS-PerResourceSet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(1..8)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DummyE ::=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maxNumberTxPortsPerResource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{p4, p8, p12, p16, p24, p3</w:t>
      </w:r>
      <w:r>
        <w:rPr>
          <w:rFonts w:ascii="Courier New" w:hAnsi="Courier New"/>
          <w:sz w:val="16"/>
          <w:lang w:eastAsia="en-GB"/>
        </w:rPr>
        <w:t>2},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maxNumberResources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(1..64),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totalNumberTxPorts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(2..256),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parameterLx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(2..4),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amplitudeScalingType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{wideband, widebandAndSubband}</w:t>
      </w:r>
      <w:r>
        <w:rPr>
          <w:rFonts w:ascii="Courier New" w:hAnsi="Courier New"/>
          <w:sz w:val="16"/>
          <w:lang w:eastAsia="en-GB"/>
        </w:rPr>
        <w:t>,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maxNumberCSI-RS-PerResourceSet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(1..8)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5A1738" w:rsidRDefault="005A17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TAG-FEATURESETDOWNLINK-STOP</w:t>
      </w:r>
    </w:p>
    <w:p w:rsidR="005A1738" w:rsidRDefault="000946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5A1738" w:rsidRDefault="005A173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A17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38" w:rsidRDefault="00094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FeatureSetDownlink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5A17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38" w:rsidRDefault="00094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</w:p>
          <w:p w:rsidR="005A1738" w:rsidRDefault="00094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r>
              <w:rPr>
                <w:rFonts w:ascii="Arial" w:hAnsi="Arial"/>
                <w:i/>
                <w:sz w:val="18"/>
                <w:lang w:eastAsia="sv-SE"/>
              </w:rPr>
              <w:t>FeatureSetDownlinkPerCC-Id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this list as the number of carrie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rs it supports according to the </w:t>
            </w:r>
            <w:r>
              <w:rPr>
                <w:rFonts w:ascii="Arial" w:hAnsi="Arial"/>
                <w:i/>
                <w:sz w:val="18"/>
                <w:lang w:eastAsia="sv-SE"/>
              </w:rPr>
              <w:t>ca-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B</w:t>
            </w:r>
            <w:r>
              <w:rPr>
                <w:rFonts w:ascii="Arial" w:hAnsi="Arial"/>
                <w:i/>
                <w:sz w:val="18"/>
                <w:lang w:eastAsia="sv-SE"/>
              </w:rPr>
              <w:t>andwidthClassDL</w:t>
            </w:r>
            <w:r>
              <w:rPr>
                <w:rFonts w:ascii="Arial" w:hAnsi="Arial"/>
                <w:sz w:val="18"/>
                <w:lang w:eastAsia="sv-SE"/>
              </w:rPr>
              <w:t xml:space="preserve">, except if indicating additional functionality by reducing the number of </w:t>
            </w:r>
            <w:r>
              <w:rPr>
                <w:rFonts w:ascii="Arial" w:hAnsi="Arial"/>
                <w:i/>
                <w:sz w:val="18"/>
                <w:lang w:eastAsia="sv-SE"/>
              </w:rPr>
              <w:t>FeatureSetDownlinkPerCC-Id</w:t>
            </w:r>
            <w:r>
              <w:rPr>
                <w:rFonts w:ascii="Arial" w:hAnsi="Arial"/>
                <w:sz w:val="18"/>
                <w:lang w:eastAsia="sv-SE"/>
              </w:rPr>
              <w:t xml:space="preserve"> in the feature set (see NOTE 1 in </w:t>
            </w:r>
            <w:r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>
              <w:rPr>
                <w:rFonts w:ascii="Arial" w:hAnsi="Arial"/>
                <w:sz w:val="18"/>
                <w:lang w:eastAsia="sv-SE"/>
              </w:rPr>
              <w:t xml:space="preserve"> IE description)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 The order of the elements in th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is list is not relevant, i.e., the network may configure any of the carriers in accordance with any of the </w:t>
            </w:r>
            <w:r>
              <w:rPr>
                <w:rFonts w:ascii="Arial" w:hAnsi="Arial"/>
                <w:i/>
                <w:sz w:val="18"/>
                <w:lang w:eastAsia="sv-SE"/>
              </w:rPr>
              <w:t>FeatureSetDownlinkPerCC-Id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5A17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38" w:rsidRDefault="00094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supportedSRS-Resources</w:t>
            </w:r>
          </w:p>
          <w:p w:rsidR="005A1738" w:rsidRDefault="00094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FeatureSetDownlink</w:t>
            </w:r>
            <w:r>
              <w:rPr>
                <w:rFonts w:ascii="Arial" w:hAnsi="Arial"/>
                <w:sz w:val="18"/>
                <w:lang w:eastAsia="ja-JP"/>
              </w:rPr>
              <w:t xml:space="preserve">. The UE is only allowed to set this field for a band with associated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FeatureSetUplinkId</w:t>
            </w:r>
            <w:r>
              <w:rPr>
                <w:rFonts w:ascii="Arial" w:hAnsi="Arial"/>
                <w:sz w:val="18"/>
                <w:lang w:eastAsia="ja-JP"/>
              </w:rPr>
              <w:t xml:space="preserve"> set to 0.</w:t>
            </w:r>
          </w:p>
        </w:tc>
      </w:tr>
    </w:tbl>
    <w:p w:rsidR="005A1738" w:rsidRDefault="005A1738"/>
    <w:p w:rsidR="005A1738" w:rsidRDefault="0009462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 xml:space="preserve">END </w:t>
      </w:r>
      <w:r>
        <w:rPr>
          <w:rFonts w:ascii="Times New Roman" w:hAnsi="Times New Roman" w:cs="Times New Roman"/>
          <w:b/>
          <w:lang w:val="en-US"/>
        </w:rPr>
        <w:t>OF THE CHANGE</w:t>
      </w:r>
    </w:p>
    <w:p w:rsidR="005A1738" w:rsidRDefault="005A1738"/>
    <w:sectPr w:rsidR="005A173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62F" w:rsidRDefault="0009462F">
      <w:pPr>
        <w:spacing w:after="0"/>
      </w:pPr>
      <w:r>
        <w:separator/>
      </w:r>
    </w:p>
  </w:endnote>
  <w:endnote w:type="continuationSeparator" w:id="0">
    <w:p w:rsidR="0009462F" w:rsidRDefault="000946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62F" w:rsidRDefault="0009462F">
      <w:pPr>
        <w:spacing w:after="0"/>
      </w:pPr>
      <w:r>
        <w:separator/>
      </w:r>
    </w:p>
  </w:footnote>
  <w:footnote w:type="continuationSeparator" w:id="0">
    <w:p w:rsidR="0009462F" w:rsidRDefault="000946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738" w:rsidRDefault="0009462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tw_Energy_NR-Core">
    <w15:presenceInfo w15:providerId="None" w15:userId="Netw_Energy_N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M5MTRhMGFkMjE3OTFmNWQ2YTIyNTI2MTMzOWRhMGMifQ=="/>
  </w:docVars>
  <w:rsids>
    <w:rsidRoot w:val="00022E4A"/>
    <w:rsid w:val="00022E4A"/>
    <w:rsid w:val="00070E09"/>
    <w:rsid w:val="0009462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9C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5884"/>
    <w:rsid w:val="004B75B7"/>
    <w:rsid w:val="004D20B3"/>
    <w:rsid w:val="005141D9"/>
    <w:rsid w:val="0051580D"/>
    <w:rsid w:val="00547111"/>
    <w:rsid w:val="00592D74"/>
    <w:rsid w:val="005A173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0971"/>
    <w:rsid w:val="007F7259"/>
    <w:rsid w:val="008040A8"/>
    <w:rsid w:val="008279FA"/>
    <w:rsid w:val="008626E7"/>
    <w:rsid w:val="00870EE7"/>
    <w:rsid w:val="008863B9"/>
    <w:rsid w:val="008A45A6"/>
    <w:rsid w:val="008D3CCC"/>
    <w:rsid w:val="008E392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E46"/>
    <w:rsid w:val="00A47E70"/>
    <w:rsid w:val="00A50CF0"/>
    <w:rsid w:val="00A7671C"/>
    <w:rsid w:val="00AA2CBC"/>
    <w:rsid w:val="00AC5820"/>
    <w:rsid w:val="00AD1CD8"/>
    <w:rsid w:val="00B258BB"/>
    <w:rsid w:val="00B4286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7EB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23BB"/>
    <w:rsid w:val="00EE7D7C"/>
    <w:rsid w:val="00F25D98"/>
    <w:rsid w:val="00F300FB"/>
    <w:rsid w:val="00FB6386"/>
    <w:rsid w:val="00FC3A15"/>
    <w:rsid w:val="51D4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9C6BF"/>
  <w15:docId w15:val="{A03B0620-4CBF-4952-872C-913814C0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A4DA-E967-4A3A-9317-C0BD6155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4397</Words>
  <Characters>25068</Characters>
  <Application>Microsoft Office Word</Application>
  <DocSecurity>0</DocSecurity>
  <Lines>208</Lines>
  <Paragraphs>58</Paragraphs>
  <ScaleCrop>false</ScaleCrop>
  <Company>3GPP Support Team</Company>
  <LinksUpToDate>false</LinksUpToDate>
  <CharactersWithSpaces>29407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(Jianhui)</cp:lastModifiedBy>
  <cp:revision>15</cp:revision>
  <cp:lastPrinted>2411-12-31T15:59:00Z</cp:lastPrinted>
  <dcterms:created xsi:type="dcterms:W3CDTF">2020-02-03T08:32:00Z</dcterms:created>
  <dcterms:modified xsi:type="dcterms:W3CDTF">2024-05-31T06:51:00Z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A1EDED4D725041A4B6BBF9B2D6D1716B_12</vt:lpwstr>
  </property>
</Properties>
</file>